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92125" w14:textId="77777777" w:rsidR="00237C70" w:rsidRPr="00DE58BE" w:rsidRDefault="00237C70" w:rsidP="003415E4">
      <w:pPr>
        <w:ind w:left="284"/>
        <w:rPr>
          <w:rFonts w:ascii="Times New Roman" w:hAnsi="Times New Roman"/>
          <w:color w:val="0073B3"/>
          <w:lang w:val="de-DE"/>
        </w:rPr>
      </w:pPr>
    </w:p>
    <w:p w14:paraId="55D8A362" w14:textId="77777777" w:rsidR="00ED4B5D" w:rsidRPr="001F20EB" w:rsidRDefault="00ED4B5D" w:rsidP="00ED4B5D">
      <w:pPr>
        <w:pStyle w:val="Overskrift1"/>
      </w:pPr>
      <w:proofErr w:type="spellStart"/>
      <w:r>
        <w:t>NFFOs</w:t>
      </w:r>
      <w:proofErr w:type="spellEnd"/>
      <w:r>
        <w:t xml:space="preserve"> høringsinnspill til utdannings- og forskningskomiteen </w:t>
      </w:r>
      <w:proofErr w:type="gramStart"/>
      <w:r>
        <w:t>–  statsbudsjettet</w:t>
      </w:r>
      <w:proofErr w:type="gramEnd"/>
      <w:r>
        <w:t xml:space="preserve"> 2023</w:t>
      </w:r>
    </w:p>
    <w:p w14:paraId="7300BDF7" w14:textId="77777777" w:rsidR="00ED4B5D" w:rsidRDefault="00ED4B5D" w:rsidP="00ED4B5D">
      <w:pPr>
        <w:spacing w:line="360" w:lineRule="auto"/>
        <w:rPr>
          <w:rFonts w:asciiTheme="minorHAnsi" w:hAnsiTheme="minorHAnsi" w:cstheme="minorBidi"/>
        </w:rPr>
      </w:pPr>
    </w:p>
    <w:p w14:paraId="7E84A4FD" w14:textId="77777777" w:rsidR="00ED4B5D" w:rsidRPr="00633FC7" w:rsidRDefault="00ED4B5D" w:rsidP="00ED4B5D">
      <w:pPr>
        <w:spacing w:line="360" w:lineRule="auto"/>
        <w:rPr>
          <w:rFonts w:asciiTheme="minorHAnsi" w:hAnsiTheme="minorHAnsi" w:cstheme="minorHAnsi"/>
          <w:i/>
        </w:rPr>
      </w:pPr>
      <w:r w:rsidRPr="00633FC7">
        <w:rPr>
          <w:rFonts w:asciiTheme="minorHAnsi" w:hAnsiTheme="minorHAnsi" w:cstheme="minorHAnsi"/>
          <w:i/>
        </w:rPr>
        <w:t xml:space="preserve">NFFO er en fagforening for rundt 5000 faglitterære forfattere og oversettere, hvorav en betydelig andel skriver lærebøker for grunnopplæringen og fag- og lærebøker for universitets- og høgskolesektoren. NFFO ser viktigheten av at elever og studenter har tilgang til lærebøker og fagbøker på alle nivå, og har </w:t>
      </w:r>
      <w:r>
        <w:rPr>
          <w:rFonts w:asciiTheme="minorHAnsi" w:hAnsiTheme="minorHAnsi" w:cstheme="minorHAnsi"/>
          <w:i/>
        </w:rPr>
        <w:t>noen</w:t>
      </w:r>
      <w:r w:rsidRPr="00633FC7">
        <w:rPr>
          <w:rFonts w:asciiTheme="minorHAnsi" w:hAnsiTheme="minorHAnsi" w:cstheme="minorHAnsi"/>
          <w:i/>
        </w:rPr>
        <w:t xml:space="preserve"> konkrete innspill til komiteen:</w:t>
      </w:r>
    </w:p>
    <w:p w14:paraId="41BA6C48" w14:textId="77777777" w:rsidR="00ED4B5D" w:rsidRPr="001F20EB" w:rsidRDefault="00ED4B5D" w:rsidP="00ED4B5D">
      <w:pPr>
        <w:spacing w:line="360" w:lineRule="auto"/>
        <w:rPr>
          <w:rFonts w:asciiTheme="minorHAnsi" w:hAnsiTheme="minorHAnsi" w:cstheme="minorHAnsi"/>
        </w:rPr>
      </w:pPr>
    </w:p>
    <w:p w14:paraId="27D8CF10" w14:textId="77777777" w:rsidR="00ED4B5D" w:rsidRDefault="00ED4B5D" w:rsidP="00ED4B5D">
      <w:pPr>
        <w:pStyle w:val="Overskrift2"/>
        <w:rPr>
          <w:color w:val="auto"/>
        </w:rPr>
      </w:pPr>
      <w:bookmarkStart w:id="0" w:name="_Hlk21443094"/>
      <w:r w:rsidRPr="00CD16DB">
        <w:rPr>
          <w:color w:val="auto"/>
        </w:rPr>
        <w:t xml:space="preserve">Kap. 226 Kvalitetsutvikling i grunnopplæringa </w:t>
      </w:r>
    </w:p>
    <w:p w14:paraId="438C6889" w14:textId="77777777" w:rsidR="00ED4B5D" w:rsidRPr="00C507C2" w:rsidRDefault="00ED4B5D" w:rsidP="00ED4B5D"/>
    <w:p w14:paraId="7C9333CC" w14:textId="77777777" w:rsidR="00ED4B5D" w:rsidRPr="00C507C2" w:rsidRDefault="00ED4B5D" w:rsidP="00ED4B5D">
      <w:pPr>
        <w:spacing w:line="360" w:lineRule="auto"/>
        <w:rPr>
          <w:b/>
          <w:bCs/>
        </w:rPr>
      </w:pPr>
      <w:r w:rsidRPr="00C507C2">
        <w:rPr>
          <w:b/>
          <w:bCs/>
        </w:rPr>
        <w:t>Fagfornyelsen (kap. 226 post 21)</w:t>
      </w:r>
    </w:p>
    <w:p w14:paraId="363705C2" w14:textId="77777777" w:rsidR="00ED4B5D" w:rsidRDefault="00ED4B5D" w:rsidP="00ED4B5D">
      <w:pPr>
        <w:spacing w:line="360" w:lineRule="auto"/>
        <w:rPr>
          <w:rFonts w:asciiTheme="minorHAnsi" w:hAnsiTheme="minorHAnsi" w:cstheme="minorHAnsi"/>
        </w:rPr>
      </w:pPr>
      <w:r w:rsidRPr="001F20EB">
        <w:rPr>
          <w:rFonts w:asciiTheme="minorHAnsi" w:hAnsiTheme="minorHAnsi" w:cstheme="minorHAnsi"/>
        </w:rPr>
        <w:t xml:space="preserve">Fagfornyelsen ble innført for de fleste trinnene høsten 2020, og innebærer store endringer i kompetansemål og pedagogisk grunntenkning. En god implementering av fagfornyelsen forutsetter at elever og lærere har tilgang til læremidler som er i tråd med </w:t>
      </w:r>
      <w:r>
        <w:rPr>
          <w:rFonts w:asciiTheme="minorHAnsi" w:hAnsiTheme="minorHAnsi" w:cstheme="minorHAnsi"/>
        </w:rPr>
        <w:t>Fagfornyelsens</w:t>
      </w:r>
      <w:r w:rsidRPr="001F20EB">
        <w:rPr>
          <w:rFonts w:asciiTheme="minorHAnsi" w:hAnsiTheme="minorHAnsi" w:cstheme="minorHAnsi"/>
        </w:rPr>
        <w:t xml:space="preserve"> intensjoner og mål. Uavhengig av om elevene forholder seg primært til papir eller skjerm, må vi som samfunn ta oss råd til å gi norske barn og ungdom gjennomarbeidede læremidler skrevet av dyktige forfattere. Et læreverk kan ikke erstattes av bruddstykker av tekst og bilder, med litt herfra og litt derfra, men må være helhetlig og godt formidlet.</w:t>
      </w:r>
      <w:r>
        <w:rPr>
          <w:rFonts w:asciiTheme="minorHAnsi" w:hAnsiTheme="minorHAnsi" w:cstheme="minorHAnsi"/>
        </w:rPr>
        <w:t xml:space="preserve"> </w:t>
      </w:r>
    </w:p>
    <w:p w14:paraId="77E4A5A3" w14:textId="77777777" w:rsidR="00ED4B5D" w:rsidRDefault="00ED4B5D" w:rsidP="00ED4B5D">
      <w:pPr>
        <w:spacing w:line="360" w:lineRule="auto"/>
        <w:rPr>
          <w:rFonts w:asciiTheme="minorHAnsi" w:hAnsiTheme="minorHAnsi" w:cstheme="minorHAnsi"/>
        </w:rPr>
      </w:pPr>
    </w:p>
    <w:p w14:paraId="19B346F8" w14:textId="77777777" w:rsidR="00ED4B5D" w:rsidRDefault="00ED4B5D" w:rsidP="00ED4B5D">
      <w:pPr>
        <w:spacing w:line="360" w:lineRule="auto"/>
        <w:rPr>
          <w:rFonts w:asciiTheme="minorHAnsi" w:hAnsiTheme="minorHAnsi" w:cstheme="minorBidi"/>
        </w:rPr>
      </w:pPr>
      <w:r w:rsidRPr="651D9370">
        <w:rPr>
          <w:rFonts w:asciiTheme="minorHAnsi" w:hAnsiTheme="minorHAnsi" w:cstheme="minorBidi"/>
        </w:rPr>
        <w:t>NFFO er bekymret for gjennomføringen av fagfornyelsen, og at bevilgningene til læremidler i forbindelse med fagfornyelsen er utilstrekkelig. Kunnskapsdepartementet peker i proposisjonen på at de siste års pandemi har ført til vanskeligheter med å forberede innføring av de nye læreplanene, og at kommune prioriterte innkjøp av digitale læremidler fremfor fysiske læremidler (se s. 60 i proposisjonen). Samtidig viser undersøkelser Utdanningsforbundet har gjort at lærere tilbringer mye tid i kopirommet for å gi elevene tilgang til nye læremidler som kommunene ikke har hatt tilstrekkelig økonomi til å kjøpe inn, og foreldre og lærere landet rundt har engasjert seg fordi de opplever at barnas læringsutbytte blir mindre på grunn av læremiddelsituasjonen.</w:t>
      </w:r>
    </w:p>
    <w:p w14:paraId="0DB6492D" w14:textId="77777777" w:rsidR="00ED4B5D" w:rsidRDefault="00ED4B5D" w:rsidP="00ED4B5D">
      <w:pPr>
        <w:spacing w:line="360" w:lineRule="auto"/>
        <w:rPr>
          <w:rFonts w:asciiTheme="minorHAnsi" w:hAnsiTheme="minorHAnsi" w:cstheme="minorBidi"/>
        </w:rPr>
      </w:pPr>
      <w:r>
        <w:br/>
      </w:r>
      <w:r w:rsidRPr="651D9370">
        <w:rPr>
          <w:rFonts w:asciiTheme="minorHAnsi" w:hAnsiTheme="minorHAnsi" w:cstheme="minorBidi"/>
        </w:rPr>
        <w:t xml:space="preserve">NFFO vil også understreke viktigheten av at det kjøpes inn nye trykte læremidler. Forskning viser at grunnleggende ferdigheter som lesing, skriving, regning og innlæring settes på prøve </w:t>
      </w:r>
      <w:r w:rsidRPr="651D9370">
        <w:rPr>
          <w:rFonts w:asciiTheme="minorHAnsi" w:hAnsiTheme="minorHAnsi" w:cstheme="minorBidi"/>
        </w:rPr>
        <w:lastRenderedPageBreak/>
        <w:t>når man digitaliserer, og det er vesentlig at skolene kjøper inn trykte læremidler som kan benyttes i samspill med digitale læremidler og læringsressurser. Utvikling av både tradisjonelle og digitale læremidler av god kvalitet krever at det settes av tilstrekkelige ressurser.</w:t>
      </w:r>
    </w:p>
    <w:p w14:paraId="2521F5DA" w14:textId="77777777" w:rsidR="00ED4B5D" w:rsidRDefault="00ED4B5D" w:rsidP="00ED4B5D">
      <w:pPr>
        <w:spacing w:line="360" w:lineRule="auto"/>
        <w:rPr>
          <w:rFonts w:asciiTheme="minorHAnsi" w:hAnsiTheme="minorHAnsi" w:cstheme="minorHAnsi"/>
        </w:rPr>
      </w:pPr>
    </w:p>
    <w:p w14:paraId="22E17002" w14:textId="77777777" w:rsidR="00ED4B5D" w:rsidRDefault="00ED4B5D" w:rsidP="00ED4B5D">
      <w:pPr>
        <w:spacing w:line="360" w:lineRule="auto"/>
        <w:rPr>
          <w:rFonts w:asciiTheme="minorHAnsi" w:hAnsiTheme="minorHAnsi" w:cstheme="minorBidi"/>
        </w:rPr>
      </w:pPr>
      <w:r w:rsidRPr="651D9370">
        <w:rPr>
          <w:rFonts w:asciiTheme="minorHAnsi" w:hAnsiTheme="minorHAnsi" w:cstheme="minorBidi"/>
        </w:rPr>
        <w:t xml:space="preserve">Tilgang til gode og oppdaterte læremidler skal ikke være avhengig av om man bor i en kommune med god eller dårlig økonomi. Når kommuner og fylkeskommuner ikke har tilstrekkelig økonomi til å kjøpe inn læremidler til de nye læreplanene, fører det til at elever i kommuner med lite midler sitter igjen med utdaterte og mangelfulle læremidler. Slik skal det ikke være. </w:t>
      </w:r>
    </w:p>
    <w:p w14:paraId="3D92BEF7" w14:textId="77777777" w:rsidR="00ED4B5D" w:rsidRDefault="00ED4B5D" w:rsidP="00ED4B5D">
      <w:pPr>
        <w:spacing w:line="360" w:lineRule="auto"/>
        <w:rPr>
          <w:rFonts w:asciiTheme="minorHAnsi" w:hAnsiTheme="minorHAnsi" w:cstheme="minorBidi"/>
        </w:rPr>
      </w:pPr>
    </w:p>
    <w:p w14:paraId="41B4D316" w14:textId="77777777" w:rsidR="00ED4B5D" w:rsidRDefault="00ED4B5D" w:rsidP="00ED4B5D">
      <w:pPr>
        <w:spacing w:line="360" w:lineRule="auto"/>
        <w:rPr>
          <w:rFonts w:asciiTheme="minorHAnsi" w:hAnsiTheme="minorHAnsi" w:cstheme="minorBidi"/>
        </w:rPr>
      </w:pPr>
      <w:r w:rsidRPr="651D9370">
        <w:rPr>
          <w:rFonts w:asciiTheme="minorHAnsi" w:hAnsiTheme="minorHAnsi" w:cstheme="minorBidi"/>
        </w:rPr>
        <w:t xml:space="preserve">NFFO mener videre at situasjonen for læremidler i grunnskolen må gjennomgås, og at det må settes av ekstrabevilgninger til innkjøp av oppdaterte læremidler der det er behov for det. Det samme bør gjøres for læremiddelsituasjonen i den videregående skolen, da det er usikkert om rammetilskuddet som gis til fylkeskommunene gir skolene tilstrekkelig økonomisk handlingsrom til å kjøpe inn læremidler. Etter </w:t>
      </w:r>
      <w:proofErr w:type="spellStart"/>
      <w:r w:rsidRPr="651D9370">
        <w:rPr>
          <w:rFonts w:asciiTheme="minorHAnsi" w:hAnsiTheme="minorHAnsi" w:cstheme="minorBidi"/>
        </w:rPr>
        <w:t>NFFOs</w:t>
      </w:r>
      <w:proofErr w:type="spellEnd"/>
      <w:r w:rsidRPr="651D9370">
        <w:rPr>
          <w:rFonts w:asciiTheme="minorHAnsi" w:hAnsiTheme="minorHAnsi" w:cstheme="minorBidi"/>
        </w:rPr>
        <w:t xml:space="preserve"> syn er det derfor prematurt å fase ut ekstrabevilgningene til oppdaterte læremidler i forbindelse med Fagfornyelsen, og i likhet med Forleggerforeningen mener NFFO at det derfor bør tilføres 100 millioner til læremiddelkjøp i grunnskolen og 100 millioner til læremiddelkjøp i den videregående skolen.</w:t>
      </w:r>
    </w:p>
    <w:p w14:paraId="5112C629" w14:textId="77777777" w:rsidR="00ED4B5D" w:rsidRDefault="00ED4B5D" w:rsidP="00ED4B5D">
      <w:pPr>
        <w:spacing w:line="360" w:lineRule="auto"/>
        <w:rPr>
          <w:rFonts w:asciiTheme="minorHAnsi" w:hAnsiTheme="minorHAnsi" w:cstheme="minorBidi"/>
        </w:rPr>
      </w:pPr>
    </w:p>
    <w:p w14:paraId="5849048F" w14:textId="77777777" w:rsidR="00ED4B5D" w:rsidRDefault="00ED4B5D" w:rsidP="00ED4B5D">
      <w:pPr>
        <w:spacing w:line="360" w:lineRule="auto"/>
        <w:rPr>
          <w:rStyle w:val="normaltextrun"/>
          <w:rFonts w:eastAsiaTheme="majorEastAsia"/>
          <w:b/>
          <w:bCs/>
          <w:color w:val="000000"/>
          <w:bdr w:val="none" w:sz="0" w:space="0" w:color="auto" w:frame="1"/>
        </w:rPr>
      </w:pPr>
      <w:r>
        <w:rPr>
          <w:b/>
          <w:bCs/>
        </w:rPr>
        <w:t>Lesestimulering og skole- og av folke</w:t>
      </w:r>
      <w:r w:rsidRPr="00A641CA">
        <w:rPr>
          <w:b/>
          <w:bCs/>
        </w:rPr>
        <w:t xml:space="preserve">bibliotek (kap. </w:t>
      </w:r>
      <w:r w:rsidRPr="00A641CA">
        <w:rPr>
          <w:rStyle w:val="normaltextrun"/>
          <w:rFonts w:eastAsiaTheme="majorEastAsia"/>
          <w:color w:val="000000"/>
          <w:bdr w:val="none" w:sz="0" w:space="0" w:color="auto" w:frame="1"/>
        </w:rPr>
        <w:t>226 post 21)</w:t>
      </w:r>
    </w:p>
    <w:p w14:paraId="0440D0D9" w14:textId="77777777" w:rsidR="00ED4B5D" w:rsidRPr="000E6488" w:rsidRDefault="00ED4B5D" w:rsidP="00ED4B5D">
      <w:pPr>
        <w:spacing w:line="360" w:lineRule="auto"/>
        <w:rPr>
          <w:rFonts w:asciiTheme="minorHAnsi" w:hAnsiTheme="minorHAnsi" w:cstheme="minorBidi"/>
        </w:rPr>
      </w:pPr>
      <w:r w:rsidRPr="651D9370">
        <w:rPr>
          <w:rFonts w:asciiTheme="minorHAnsi" w:hAnsiTheme="minorHAnsi" w:cstheme="minorBidi"/>
        </w:rPr>
        <w:t>Lesing og litteratur utvikler og bevarer språket, gir kunnskap, nye tanker, er sosialt utjevnende og skaper forståelse og empati. NFFO er glade for at Kulturdepartementet i sitt budsjett foreslår å øke bevilgningene til leselystorganisasjonene, og at satsingen skal være tverrsektoriell. NFFO mener imidlertid at det er et behov for en styrking av det samlede kunnskapsgrunnlaget om lesingens betydning og status i det norske samfunnet En instans må få et oppdrag for å samle og systematisere statistikk, forskning og rapporter for å gi bedre kunnskap om lesingens og litteraturens status og økonomi.</w:t>
      </w:r>
    </w:p>
    <w:p w14:paraId="4598C1B7" w14:textId="77777777" w:rsidR="00ED4B5D" w:rsidRDefault="00ED4B5D" w:rsidP="00ED4B5D">
      <w:pPr>
        <w:spacing w:line="360" w:lineRule="auto"/>
      </w:pPr>
    </w:p>
    <w:p w14:paraId="104C5BC1" w14:textId="77777777" w:rsidR="00ED4B5D" w:rsidRDefault="00ED4B5D" w:rsidP="00ED4B5D">
      <w:pPr>
        <w:spacing w:line="360" w:lineRule="auto"/>
        <w:rPr>
          <w:rFonts w:asciiTheme="minorHAnsi" w:hAnsiTheme="minorHAnsi" w:cstheme="minorBidi"/>
        </w:rPr>
      </w:pPr>
      <w:r w:rsidRPr="651D9370">
        <w:rPr>
          <w:rFonts w:asciiTheme="minorHAnsi" w:hAnsiTheme="minorHAnsi" w:cstheme="minorBidi"/>
        </w:rPr>
        <w:t xml:space="preserve">NFFO er glad for at regjeringen anerkjenner viktigheten av skolebibliotek, leselyst og lesekompetanse, og at dette er en av satsingsområdene fremover. Skolebibliotekene er mange barns første møte med litteratur, og spiller en viktig rolle i å bidra til å skape leseglede og leseferdigheter blant både barn og unge. Skolebibliotekene er også et viktig bidrag til </w:t>
      </w:r>
      <w:r w:rsidRPr="651D9370">
        <w:rPr>
          <w:rFonts w:asciiTheme="minorHAnsi" w:hAnsiTheme="minorHAnsi" w:cstheme="minorBidi"/>
        </w:rPr>
        <w:lastRenderedPageBreak/>
        <w:t xml:space="preserve">barns utdannelse, til utviklingen av språk og til den demokratiske dannelsen. Gode skolebibliotek bidrar til å skape en kultur for lesing og lesing er en viktig forutsetning for læring. </w:t>
      </w:r>
    </w:p>
    <w:p w14:paraId="5C68BF85" w14:textId="77777777" w:rsidR="00ED4B5D" w:rsidRDefault="00ED4B5D" w:rsidP="00ED4B5D">
      <w:pPr>
        <w:spacing w:line="360" w:lineRule="auto"/>
        <w:rPr>
          <w:rFonts w:asciiTheme="minorHAnsi" w:hAnsiTheme="minorHAnsi" w:cstheme="minorBidi"/>
        </w:rPr>
      </w:pPr>
    </w:p>
    <w:p w14:paraId="39884B4D" w14:textId="77777777" w:rsidR="00ED4B5D" w:rsidRDefault="00ED4B5D" w:rsidP="00ED4B5D">
      <w:pPr>
        <w:spacing w:line="360" w:lineRule="auto"/>
        <w:rPr>
          <w:rFonts w:asciiTheme="minorHAnsi" w:hAnsiTheme="minorHAnsi" w:cstheme="minorBidi"/>
        </w:rPr>
      </w:pPr>
      <w:r w:rsidRPr="651D9370">
        <w:rPr>
          <w:rFonts w:asciiTheme="minorHAnsi" w:hAnsiTheme="minorHAnsi" w:cstheme="minorBidi"/>
        </w:rPr>
        <w:t xml:space="preserve">Kvaliteten på skolebibliotekene er i dag svært varierende, og det er ofte opp til rektorer og andre ildsjeler hva skolebiblioteket skal være, hva det skal inneholde og hvordan det skal brukes. NFFO mener at elevene må sikres lik tilgang til skolebibliotek, i tråd med Hurdalsplattformen og bibliotekstrategien. Selv om en økning på 7,5 millioner en god nyhet for skolebibliotekene, er det etter NFFO og Aksjon Skolebiblioteks syn ikke tilstrekkelig for å dekke behovet for skolebibliotek. NFFO mener derfor at styrkingen på 7,5 millioner må fortsette som en årlig opptrappingsplan, og komme i tillegg til å utvide og gjøre innkjøpsordningen for skolebibliotek gjennom Norsk kulturfond permanent. </w:t>
      </w:r>
    </w:p>
    <w:p w14:paraId="3CBD97B9" w14:textId="77777777" w:rsidR="00ED4B5D" w:rsidRDefault="00ED4B5D" w:rsidP="00ED4B5D">
      <w:pPr>
        <w:spacing w:line="360" w:lineRule="auto"/>
        <w:rPr>
          <w:rFonts w:asciiTheme="minorHAnsi" w:hAnsiTheme="minorHAnsi" w:cstheme="minorHAnsi"/>
        </w:rPr>
      </w:pPr>
    </w:p>
    <w:p w14:paraId="50726A60" w14:textId="77777777" w:rsidR="00ED4B5D" w:rsidRDefault="00ED4B5D" w:rsidP="00ED4B5D">
      <w:pPr>
        <w:spacing w:line="360" w:lineRule="auto"/>
        <w:rPr>
          <w:rFonts w:asciiTheme="minorHAnsi" w:hAnsiTheme="minorHAnsi" w:cstheme="minorHAnsi"/>
        </w:rPr>
      </w:pPr>
      <w:proofErr w:type="gramStart"/>
      <w:r>
        <w:rPr>
          <w:rFonts w:asciiTheme="minorHAnsi" w:hAnsiTheme="minorHAnsi" w:cstheme="minorHAnsi"/>
        </w:rPr>
        <w:t>For øvrig</w:t>
      </w:r>
      <w:proofErr w:type="gramEnd"/>
      <w:r>
        <w:rPr>
          <w:rFonts w:asciiTheme="minorHAnsi" w:hAnsiTheme="minorHAnsi" w:cstheme="minorHAnsi"/>
        </w:rPr>
        <w:t xml:space="preserve"> viser NFFO til </w:t>
      </w:r>
      <w:r w:rsidRPr="006C2ACD">
        <w:rPr>
          <w:rFonts w:cstheme="majorHAnsi"/>
        </w:rPr>
        <w:t>Aksjon skolebibliotek</w:t>
      </w:r>
      <w:r>
        <w:rPr>
          <w:rFonts w:cstheme="majorHAnsi"/>
        </w:rPr>
        <w:t>s innspill til utdannings- og forskningskomiteen.</w:t>
      </w:r>
    </w:p>
    <w:p w14:paraId="5067BA5E" w14:textId="77777777" w:rsidR="00ED4B5D" w:rsidRDefault="00ED4B5D" w:rsidP="00ED4B5D">
      <w:pPr>
        <w:pStyle w:val="Overskrift2"/>
        <w:spacing w:line="360" w:lineRule="auto"/>
        <w:rPr>
          <w:color w:val="auto"/>
        </w:rPr>
      </w:pPr>
    </w:p>
    <w:p w14:paraId="36658BA7" w14:textId="77777777" w:rsidR="00ED4B5D" w:rsidRDefault="00ED4B5D" w:rsidP="00ED4B5D">
      <w:pPr>
        <w:pStyle w:val="Overskrift2"/>
        <w:spacing w:line="360" w:lineRule="auto"/>
        <w:rPr>
          <w:color w:val="auto"/>
        </w:rPr>
      </w:pPr>
      <w:r w:rsidRPr="007937EB">
        <w:rPr>
          <w:color w:val="auto"/>
        </w:rPr>
        <w:t>Kap. 272</w:t>
      </w:r>
      <w:r>
        <w:rPr>
          <w:color w:val="auto"/>
        </w:rPr>
        <w:t xml:space="preserve"> </w:t>
      </w:r>
      <w:r w:rsidRPr="007937EB">
        <w:rPr>
          <w:color w:val="auto"/>
        </w:rPr>
        <w:t xml:space="preserve">Tiltak for internasjonalisering og </w:t>
      </w:r>
      <w:proofErr w:type="spellStart"/>
      <w:r w:rsidRPr="007937EB">
        <w:rPr>
          <w:color w:val="auto"/>
        </w:rPr>
        <w:t>høgare</w:t>
      </w:r>
      <w:proofErr w:type="spellEnd"/>
      <w:r w:rsidRPr="007937EB">
        <w:rPr>
          <w:color w:val="auto"/>
        </w:rPr>
        <w:t xml:space="preserve"> utdanning </w:t>
      </w:r>
    </w:p>
    <w:p w14:paraId="70AB67E5" w14:textId="77777777" w:rsidR="00ED4B5D" w:rsidRPr="00111A25" w:rsidRDefault="00ED4B5D" w:rsidP="00ED4B5D">
      <w:pPr>
        <w:spacing w:line="360" w:lineRule="auto"/>
        <w:rPr>
          <w:rFonts w:cstheme="minorHAnsi"/>
          <w:b/>
          <w:bCs/>
        </w:rPr>
      </w:pPr>
      <w:r w:rsidRPr="00111A25">
        <w:rPr>
          <w:rFonts w:cstheme="minorHAnsi"/>
          <w:b/>
          <w:bCs/>
        </w:rPr>
        <w:t>Lærebok</w:t>
      </w:r>
      <w:r>
        <w:rPr>
          <w:rFonts w:cstheme="minorHAnsi"/>
          <w:b/>
          <w:bCs/>
        </w:rPr>
        <w:t>ordningen</w:t>
      </w:r>
      <w:r w:rsidRPr="00111A25">
        <w:rPr>
          <w:rFonts w:cstheme="minorHAnsi"/>
          <w:b/>
          <w:bCs/>
        </w:rPr>
        <w:t xml:space="preserve"> for høyere utdanning (kap. 272 post 52)</w:t>
      </w:r>
    </w:p>
    <w:p w14:paraId="7ABDC169" w14:textId="77777777" w:rsidR="00ED4B5D" w:rsidRDefault="00ED4B5D" w:rsidP="00ED4B5D">
      <w:pPr>
        <w:spacing w:line="360" w:lineRule="auto"/>
        <w:rPr>
          <w:rFonts w:asciiTheme="minorHAnsi" w:hAnsiTheme="minorHAnsi" w:cstheme="minorBidi"/>
        </w:rPr>
      </w:pPr>
      <w:r>
        <w:br/>
      </w:r>
      <w:r w:rsidRPr="651D9370">
        <w:rPr>
          <w:rFonts w:asciiTheme="minorHAnsi" w:hAnsiTheme="minorHAnsi" w:cstheme="minorBidi"/>
        </w:rPr>
        <w:t xml:space="preserve">De aller fleste som utdannes ved norske universiteter og høgskoler skal ut i et norsk samfunn og et norsk arbeidsliv. For at de skal være beredt til dette er de avhengig av å utvikle et godt norsk fagspråk gjennom studiene. </w:t>
      </w:r>
      <w:r w:rsidRPr="651D9370">
        <w:rPr>
          <w:rFonts w:eastAsia="Calibri"/>
        </w:rPr>
        <w:t>Uten et godt norsk fagspråk vil studentene ha vanskelig for å kommunisere faglig og formidle sin kunnskap til samfunnet.</w:t>
      </w:r>
      <w:r w:rsidRPr="651D9370">
        <w:rPr>
          <w:rFonts w:asciiTheme="minorHAnsi" w:hAnsiTheme="minorHAnsi" w:cstheme="minorBidi"/>
        </w:rPr>
        <w:t xml:space="preserve"> </w:t>
      </w:r>
    </w:p>
    <w:p w14:paraId="5CB1D7D9" w14:textId="77777777" w:rsidR="00ED4B5D" w:rsidRDefault="00ED4B5D" w:rsidP="00ED4B5D">
      <w:pPr>
        <w:spacing w:line="360" w:lineRule="auto"/>
        <w:rPr>
          <w:rFonts w:asciiTheme="minorHAnsi" w:hAnsiTheme="minorHAnsi" w:cstheme="minorBidi"/>
        </w:rPr>
      </w:pPr>
    </w:p>
    <w:p w14:paraId="2DB27FAB" w14:textId="77777777" w:rsidR="00ED4B5D" w:rsidRDefault="00ED4B5D" w:rsidP="00ED4B5D">
      <w:pPr>
        <w:spacing w:line="360" w:lineRule="auto"/>
        <w:rPr>
          <w:rFonts w:asciiTheme="minorHAnsi" w:hAnsiTheme="minorHAnsi" w:cstheme="minorBidi"/>
          <w:color w:val="000000"/>
        </w:rPr>
      </w:pPr>
      <w:r w:rsidRPr="651D9370">
        <w:rPr>
          <w:rFonts w:asciiTheme="minorHAnsi" w:hAnsiTheme="minorHAnsi" w:cstheme="minorBidi"/>
        </w:rPr>
        <w:t xml:space="preserve">Regjeringen påpeker i langtidsplanen for forskning og høyere utdanning (Meld. St. 5 (2022–2023)) at det norske fagspråket taper terreng til engelsk, og at det er behov for tiltak for å snu denne utviklingen. Et av tiltakene er støtte til utvikling av lærebøker på norsk.  </w:t>
      </w:r>
      <w:r w:rsidRPr="651D9370">
        <w:rPr>
          <w:rFonts w:asciiTheme="minorHAnsi" w:hAnsiTheme="minorHAnsi" w:cstheme="minorBidi"/>
          <w:color w:val="000000" w:themeColor="text1"/>
        </w:rPr>
        <w:t xml:space="preserve">Forskning som formidles gjennom lærebøker på norsk gjør fagstoffet tilgjengelig for studenter i større grad enn det lærebøker på fremmedspråk gjør. Spesielt gjelder dette på lavere grads studier, der forståelsen for forskning ofte ikke er godt utviklet.  </w:t>
      </w:r>
    </w:p>
    <w:p w14:paraId="33D882D0" w14:textId="77777777" w:rsidR="00ED4B5D" w:rsidRDefault="00ED4B5D" w:rsidP="00ED4B5D">
      <w:pPr>
        <w:spacing w:line="360" w:lineRule="auto"/>
        <w:rPr>
          <w:rFonts w:asciiTheme="minorHAnsi" w:hAnsiTheme="minorHAnsi" w:cstheme="minorHAnsi"/>
          <w:color w:val="000000"/>
        </w:rPr>
      </w:pPr>
    </w:p>
    <w:p w14:paraId="141F282D" w14:textId="77777777" w:rsidR="00ED4B5D" w:rsidRDefault="00ED4B5D" w:rsidP="00ED4B5D">
      <w:pPr>
        <w:spacing w:line="360" w:lineRule="auto"/>
        <w:rPr>
          <w:rFonts w:eastAsia="Calibri"/>
          <w:color w:val="000000" w:themeColor="text1"/>
        </w:rPr>
      </w:pPr>
      <w:r w:rsidRPr="651D9370">
        <w:rPr>
          <w:rFonts w:asciiTheme="minorHAnsi" w:hAnsiTheme="minorHAnsi" w:cstheme="minorBidi"/>
        </w:rPr>
        <w:t>Lærebokstøtten, som nå er lagt under det nye HK-</w:t>
      </w:r>
      <w:proofErr w:type="spellStart"/>
      <w:r w:rsidRPr="651D9370">
        <w:rPr>
          <w:rFonts w:asciiTheme="minorHAnsi" w:hAnsiTheme="minorHAnsi" w:cstheme="minorBidi"/>
        </w:rPr>
        <w:t>dir</w:t>
      </w:r>
      <w:proofErr w:type="spellEnd"/>
      <w:r w:rsidRPr="651D9370">
        <w:rPr>
          <w:rFonts w:asciiTheme="minorHAnsi" w:hAnsiTheme="minorHAnsi" w:cstheme="minorBidi"/>
        </w:rPr>
        <w:t xml:space="preserve">, er helt avgjørende for at forskere og forlag skal kunne skrive og utgi norskspråklig pensum i flest mulig fag, og NFFO ser med </w:t>
      </w:r>
      <w:r w:rsidRPr="651D9370">
        <w:rPr>
          <w:rFonts w:asciiTheme="minorHAnsi" w:hAnsiTheme="minorHAnsi" w:cstheme="minorBidi"/>
        </w:rPr>
        <w:lastRenderedPageBreak/>
        <w:t xml:space="preserve">bekymring på at departementet foreslår å redusere bevilgningene tilsvarende </w:t>
      </w:r>
      <w:proofErr w:type="spellStart"/>
      <w:r w:rsidRPr="651D9370">
        <w:rPr>
          <w:rFonts w:asciiTheme="minorHAnsi" w:hAnsiTheme="minorHAnsi" w:cstheme="minorBidi"/>
        </w:rPr>
        <w:t>mindreforbruk</w:t>
      </w:r>
      <w:proofErr w:type="spellEnd"/>
      <w:r w:rsidRPr="651D9370">
        <w:rPr>
          <w:rFonts w:asciiTheme="minorHAnsi" w:hAnsiTheme="minorHAnsi" w:cstheme="minorBidi"/>
        </w:rPr>
        <w:t xml:space="preserve"> i 2022. Lærebokstøtten er et konkret tiltak, som sørger for et tilfang av pensum på norsk, og bevaring og videreutvikling av norsk fagspråk. Et eventuelt </w:t>
      </w:r>
      <w:proofErr w:type="spellStart"/>
      <w:r w:rsidRPr="651D9370">
        <w:rPr>
          <w:rFonts w:asciiTheme="minorHAnsi" w:hAnsiTheme="minorHAnsi" w:cstheme="minorBidi"/>
        </w:rPr>
        <w:t>mindreforbruk</w:t>
      </w:r>
      <w:proofErr w:type="spellEnd"/>
      <w:r w:rsidRPr="651D9370">
        <w:rPr>
          <w:rFonts w:asciiTheme="minorHAnsi" w:hAnsiTheme="minorHAnsi" w:cstheme="minorBidi"/>
        </w:rPr>
        <w:t xml:space="preserve"> det siste året kan ha flere årsaker: usikkerhet knyttet til pandemien, omlegging av ordningen eller generelt lite kjennskap til ordningen blant landets universiteter og høyskoler. Det er etter </w:t>
      </w:r>
      <w:proofErr w:type="spellStart"/>
      <w:r w:rsidRPr="651D9370">
        <w:rPr>
          <w:rFonts w:asciiTheme="minorHAnsi" w:hAnsiTheme="minorHAnsi" w:cstheme="minorBidi"/>
        </w:rPr>
        <w:t>NFFOs</w:t>
      </w:r>
      <w:proofErr w:type="spellEnd"/>
      <w:r w:rsidRPr="651D9370">
        <w:rPr>
          <w:rFonts w:asciiTheme="minorHAnsi" w:hAnsiTheme="minorHAnsi" w:cstheme="minorBidi"/>
        </w:rPr>
        <w:t xml:space="preserve"> syn ikke grunnlag for å redusere tildelingene på nåværende tidspunkt, men heller arbeide for å gjøre ordningen mer kjent i universitets- og høyskolesektoren, og for å treffe en bredere faggruppe. NFFO mener derfor tilskuddet til Lærebokordningen bør opprettholdes på 10 millioner kroner. Videre bør lærebokordningen </w:t>
      </w:r>
      <w:r w:rsidRPr="651D9370">
        <w:rPr>
          <w:rFonts w:eastAsia="Calibri"/>
          <w:color w:val="000000" w:themeColor="text1"/>
        </w:rPr>
        <w:t xml:space="preserve">suppleres med en målrettet støtte til forfattere gjennom meritteringsordninger el., i tråd med anbefalingen i </w:t>
      </w:r>
      <w:proofErr w:type="spellStart"/>
      <w:r w:rsidRPr="651D9370">
        <w:rPr>
          <w:rFonts w:eastAsia="Calibri"/>
          <w:color w:val="000000" w:themeColor="text1"/>
        </w:rPr>
        <w:t>Dikus</w:t>
      </w:r>
      <w:proofErr w:type="spellEnd"/>
      <w:r w:rsidRPr="651D9370">
        <w:rPr>
          <w:rFonts w:eastAsia="Calibri"/>
          <w:color w:val="000000" w:themeColor="text1"/>
        </w:rPr>
        <w:t xml:space="preserve"> Rapport 03/2021 </w:t>
      </w:r>
      <w:proofErr w:type="spellStart"/>
      <w:r w:rsidRPr="651D9370">
        <w:rPr>
          <w:rFonts w:eastAsia="Calibri"/>
          <w:color w:val="000000" w:themeColor="text1"/>
        </w:rPr>
        <w:t>Språkstrategiar</w:t>
      </w:r>
      <w:proofErr w:type="spellEnd"/>
      <w:r w:rsidRPr="651D9370">
        <w:rPr>
          <w:rFonts w:eastAsia="Calibri"/>
          <w:color w:val="000000" w:themeColor="text1"/>
        </w:rPr>
        <w:t xml:space="preserve"> i </w:t>
      </w:r>
      <w:proofErr w:type="spellStart"/>
      <w:r w:rsidRPr="651D9370">
        <w:rPr>
          <w:rFonts w:eastAsia="Calibri"/>
          <w:color w:val="000000" w:themeColor="text1"/>
        </w:rPr>
        <w:t>høgare</w:t>
      </w:r>
      <w:proofErr w:type="spellEnd"/>
      <w:r w:rsidRPr="651D9370">
        <w:rPr>
          <w:rFonts w:eastAsia="Calibri"/>
          <w:color w:val="000000" w:themeColor="text1"/>
        </w:rPr>
        <w:t xml:space="preserve"> utdanning. Slik kan flere forfattere stimuleres til å skrive lærebøker for høyere utdanning, og flere studenter kan få glede og nytte av fagformidling på norsk.</w:t>
      </w:r>
    </w:p>
    <w:p w14:paraId="0A550C2F" w14:textId="77777777" w:rsidR="00ED4B5D" w:rsidRDefault="00ED4B5D" w:rsidP="00ED4B5D">
      <w:pPr>
        <w:spacing w:line="360" w:lineRule="auto"/>
        <w:rPr>
          <w:rFonts w:asciiTheme="minorHAnsi" w:hAnsiTheme="minorHAnsi" w:cstheme="minorBidi"/>
        </w:rPr>
      </w:pPr>
    </w:p>
    <w:p w14:paraId="7BC125A3" w14:textId="77777777" w:rsidR="00ED4B5D" w:rsidRDefault="00ED4B5D" w:rsidP="00ED4B5D">
      <w:pPr>
        <w:spacing w:line="360" w:lineRule="auto"/>
        <w:rPr>
          <w:rFonts w:asciiTheme="minorHAnsi" w:hAnsiTheme="minorHAnsi" w:cstheme="minorHAnsi"/>
        </w:rPr>
      </w:pPr>
    </w:p>
    <w:p w14:paraId="3BCDD1C1" w14:textId="77777777" w:rsidR="00ED4B5D" w:rsidRPr="001F20EB" w:rsidRDefault="00ED4B5D" w:rsidP="00ED4B5D">
      <w:pPr>
        <w:spacing w:line="360" w:lineRule="auto"/>
        <w:rPr>
          <w:rFonts w:asciiTheme="minorHAnsi" w:hAnsiTheme="minorHAnsi" w:cstheme="minorHAnsi"/>
        </w:rPr>
      </w:pPr>
    </w:p>
    <w:bookmarkEnd w:id="0"/>
    <w:p w14:paraId="61F4B68C" w14:textId="77777777" w:rsidR="00ED4B5D" w:rsidRPr="001F20EB" w:rsidRDefault="00ED4B5D" w:rsidP="00ED4B5D">
      <w:pPr>
        <w:rPr>
          <w:rFonts w:asciiTheme="minorHAnsi" w:hAnsiTheme="minorHAnsi" w:cstheme="minorHAnsi"/>
        </w:rPr>
      </w:pPr>
    </w:p>
    <w:p w14:paraId="040C061C" w14:textId="77777777" w:rsidR="00ED4B5D" w:rsidRDefault="00ED4B5D" w:rsidP="00ED4B5D"/>
    <w:p w14:paraId="3F4D44E1" w14:textId="77777777" w:rsidR="00B57B40" w:rsidRDefault="00B57B40" w:rsidP="003415E4">
      <w:pPr>
        <w:ind w:left="284"/>
        <w:rPr>
          <w:rFonts w:ascii="Times New Roman" w:hAnsi="Times New Roman"/>
        </w:rPr>
      </w:pPr>
    </w:p>
    <w:p w14:paraId="1258328C" w14:textId="77777777" w:rsidR="00B57B40" w:rsidRDefault="00B57B40" w:rsidP="003415E4">
      <w:pPr>
        <w:ind w:left="284"/>
        <w:rPr>
          <w:rFonts w:ascii="Times New Roman" w:hAnsi="Times New Roman"/>
        </w:rPr>
      </w:pPr>
    </w:p>
    <w:p w14:paraId="5C97F149" w14:textId="77777777" w:rsidR="00B57B40" w:rsidRDefault="00B57B40" w:rsidP="003415E4">
      <w:pPr>
        <w:ind w:left="284"/>
        <w:rPr>
          <w:rFonts w:ascii="Times New Roman" w:hAnsi="Times New Roman"/>
        </w:rPr>
      </w:pPr>
    </w:p>
    <w:p w14:paraId="4C1061D9" w14:textId="77777777" w:rsidR="00B57B40" w:rsidRDefault="00B57B40" w:rsidP="003415E4">
      <w:pPr>
        <w:ind w:left="284"/>
        <w:rPr>
          <w:rFonts w:ascii="Times New Roman" w:hAnsi="Times New Roman"/>
        </w:rPr>
      </w:pPr>
    </w:p>
    <w:p w14:paraId="2B86A3FD" w14:textId="77777777" w:rsidR="00B57B40" w:rsidRDefault="00B57B40" w:rsidP="003415E4">
      <w:pPr>
        <w:ind w:left="284"/>
        <w:rPr>
          <w:rFonts w:ascii="Times New Roman" w:hAnsi="Times New Roman"/>
        </w:rPr>
      </w:pPr>
    </w:p>
    <w:p w14:paraId="674DF8CD" w14:textId="77777777" w:rsidR="00B57B40" w:rsidRDefault="00B57B40" w:rsidP="003415E4">
      <w:pPr>
        <w:ind w:left="284"/>
        <w:rPr>
          <w:rFonts w:ascii="Times New Roman" w:hAnsi="Times New Roman"/>
        </w:rPr>
      </w:pPr>
    </w:p>
    <w:p w14:paraId="354EACC9" w14:textId="77777777" w:rsidR="00B57B40" w:rsidRDefault="00B57B40" w:rsidP="003415E4">
      <w:pPr>
        <w:ind w:left="284"/>
        <w:rPr>
          <w:rFonts w:ascii="Times New Roman" w:hAnsi="Times New Roman"/>
        </w:rPr>
      </w:pPr>
    </w:p>
    <w:p w14:paraId="26476C78" w14:textId="77777777" w:rsidR="00B57B40" w:rsidRDefault="00B57B40" w:rsidP="003415E4">
      <w:pPr>
        <w:ind w:left="284"/>
        <w:rPr>
          <w:rFonts w:ascii="Times New Roman" w:hAnsi="Times New Roman"/>
        </w:rPr>
      </w:pPr>
    </w:p>
    <w:p w14:paraId="1D18FC15" w14:textId="77777777" w:rsidR="00B57B40" w:rsidRDefault="00B57B40" w:rsidP="003415E4">
      <w:pPr>
        <w:ind w:left="284"/>
        <w:rPr>
          <w:rFonts w:ascii="Times New Roman" w:hAnsi="Times New Roman"/>
        </w:rPr>
      </w:pPr>
    </w:p>
    <w:p w14:paraId="628B65DA" w14:textId="77777777" w:rsidR="00B57B40" w:rsidRDefault="00B57B40" w:rsidP="003415E4">
      <w:pPr>
        <w:ind w:left="284"/>
        <w:rPr>
          <w:rFonts w:ascii="Times New Roman" w:hAnsi="Times New Roman"/>
        </w:rPr>
      </w:pPr>
    </w:p>
    <w:p w14:paraId="18CF4D31" w14:textId="77777777" w:rsidR="00B57B40" w:rsidRDefault="00B57B40" w:rsidP="003415E4">
      <w:pPr>
        <w:ind w:left="284"/>
        <w:rPr>
          <w:rFonts w:ascii="Times New Roman" w:hAnsi="Times New Roman"/>
        </w:rPr>
      </w:pPr>
    </w:p>
    <w:p w14:paraId="63D100FA" w14:textId="77777777" w:rsidR="00B57B40" w:rsidRDefault="00B57B40" w:rsidP="003415E4">
      <w:pPr>
        <w:ind w:left="284"/>
        <w:rPr>
          <w:rFonts w:ascii="Times New Roman" w:hAnsi="Times New Roman"/>
        </w:rPr>
      </w:pPr>
    </w:p>
    <w:p w14:paraId="641F6F27" w14:textId="77777777" w:rsidR="00B57B40" w:rsidRDefault="00B57B40" w:rsidP="003415E4">
      <w:pPr>
        <w:ind w:left="284"/>
        <w:rPr>
          <w:rFonts w:ascii="Times New Roman" w:hAnsi="Times New Roman"/>
        </w:rPr>
      </w:pPr>
    </w:p>
    <w:p w14:paraId="24F8206F" w14:textId="77777777" w:rsidR="00B57B40" w:rsidRDefault="00B57B40" w:rsidP="003415E4">
      <w:pPr>
        <w:ind w:left="284"/>
        <w:rPr>
          <w:rFonts w:ascii="Times New Roman" w:hAnsi="Times New Roman"/>
        </w:rPr>
      </w:pPr>
    </w:p>
    <w:p w14:paraId="5E010010" w14:textId="77777777" w:rsidR="00B57B40" w:rsidRDefault="00B57B40" w:rsidP="003415E4">
      <w:pPr>
        <w:ind w:left="284"/>
        <w:rPr>
          <w:rFonts w:ascii="Times New Roman" w:hAnsi="Times New Roman"/>
        </w:rPr>
      </w:pPr>
    </w:p>
    <w:p w14:paraId="676C596D" w14:textId="77777777" w:rsidR="00B57B40" w:rsidRDefault="00B57B40" w:rsidP="003415E4">
      <w:pPr>
        <w:ind w:left="284"/>
        <w:rPr>
          <w:rFonts w:ascii="Times New Roman" w:hAnsi="Times New Roman"/>
        </w:rPr>
      </w:pPr>
    </w:p>
    <w:p w14:paraId="42AF8EDA" w14:textId="77777777" w:rsidR="00B57B40" w:rsidRDefault="00B57B40" w:rsidP="003415E4">
      <w:pPr>
        <w:ind w:left="284"/>
        <w:rPr>
          <w:rFonts w:ascii="Times New Roman" w:hAnsi="Times New Roman"/>
        </w:rPr>
      </w:pPr>
    </w:p>
    <w:p w14:paraId="64081C62" w14:textId="77777777" w:rsidR="00B57B40" w:rsidRDefault="00B57B40" w:rsidP="003415E4">
      <w:pPr>
        <w:ind w:left="284"/>
        <w:rPr>
          <w:rFonts w:ascii="Times New Roman" w:hAnsi="Times New Roman"/>
        </w:rPr>
      </w:pPr>
    </w:p>
    <w:p w14:paraId="2635B79E" w14:textId="77777777" w:rsidR="00B57B40" w:rsidRPr="004F02C8" w:rsidRDefault="00B57B40" w:rsidP="003415E4">
      <w:pPr>
        <w:ind w:left="284"/>
        <w:rPr>
          <w:rFonts w:ascii="Times New Roman" w:hAnsi="Times New Roman"/>
        </w:rPr>
      </w:pPr>
    </w:p>
    <w:p w14:paraId="75D1DDF8" w14:textId="77777777" w:rsidR="00630D63" w:rsidRPr="004F02C8" w:rsidRDefault="00630D63" w:rsidP="003415E4">
      <w:pPr>
        <w:ind w:left="284"/>
        <w:rPr>
          <w:rFonts w:ascii="Times New Roman" w:hAnsi="Times New Roman"/>
        </w:rPr>
      </w:pPr>
    </w:p>
    <w:p w14:paraId="0F3D6E6E" w14:textId="77777777" w:rsidR="00630D63" w:rsidRPr="004F02C8" w:rsidRDefault="00630D63" w:rsidP="003415E4">
      <w:pPr>
        <w:ind w:left="284"/>
        <w:rPr>
          <w:rFonts w:ascii="Times New Roman" w:hAnsi="Times New Roman"/>
        </w:rPr>
      </w:pPr>
    </w:p>
    <w:p w14:paraId="42C224D6" w14:textId="77777777" w:rsidR="00630D63" w:rsidRPr="004F02C8" w:rsidRDefault="00630D63" w:rsidP="003415E4">
      <w:pPr>
        <w:ind w:left="284"/>
        <w:rPr>
          <w:rFonts w:ascii="Times New Roman" w:hAnsi="Times New Roman"/>
        </w:rPr>
      </w:pPr>
    </w:p>
    <w:p w14:paraId="2D0C0C65" w14:textId="77777777" w:rsidR="00630D63" w:rsidRPr="004F02C8" w:rsidRDefault="00630D63" w:rsidP="003415E4">
      <w:pPr>
        <w:ind w:left="284"/>
        <w:rPr>
          <w:rFonts w:ascii="Times New Roman" w:hAnsi="Times New Roman"/>
        </w:rPr>
      </w:pPr>
    </w:p>
    <w:p w14:paraId="424452B0" w14:textId="77777777" w:rsidR="00630D63" w:rsidRPr="004F02C8" w:rsidRDefault="00630D63" w:rsidP="003415E4">
      <w:pPr>
        <w:ind w:left="284"/>
        <w:rPr>
          <w:rFonts w:ascii="Times New Roman" w:hAnsi="Times New Roman"/>
        </w:rPr>
      </w:pPr>
    </w:p>
    <w:p w14:paraId="5224F52A" w14:textId="77777777" w:rsidR="00630D63" w:rsidRPr="004F02C8" w:rsidRDefault="00630D63" w:rsidP="003415E4">
      <w:pPr>
        <w:ind w:left="284"/>
        <w:rPr>
          <w:rFonts w:ascii="Times New Roman" w:hAnsi="Times New Roman"/>
        </w:rPr>
      </w:pPr>
    </w:p>
    <w:p w14:paraId="6EDE342E" w14:textId="77777777" w:rsidR="00630D63" w:rsidRPr="004F02C8" w:rsidRDefault="00630D63" w:rsidP="003415E4">
      <w:pPr>
        <w:ind w:left="284"/>
        <w:rPr>
          <w:rFonts w:ascii="Times New Roman" w:hAnsi="Times New Roman"/>
        </w:rPr>
      </w:pPr>
    </w:p>
    <w:p w14:paraId="5D84C670" w14:textId="77777777" w:rsidR="00630D63" w:rsidRPr="004F02C8" w:rsidRDefault="00630D63" w:rsidP="003415E4">
      <w:pPr>
        <w:ind w:left="284"/>
        <w:rPr>
          <w:rFonts w:ascii="Times New Roman" w:hAnsi="Times New Roman"/>
        </w:rPr>
      </w:pPr>
    </w:p>
    <w:p w14:paraId="49BDAF19" w14:textId="77777777" w:rsidR="00630D63" w:rsidRPr="004F02C8" w:rsidRDefault="00630D63" w:rsidP="003415E4">
      <w:pPr>
        <w:ind w:left="284"/>
        <w:rPr>
          <w:rFonts w:ascii="Times New Roman" w:hAnsi="Times New Roman"/>
        </w:rPr>
      </w:pPr>
    </w:p>
    <w:p w14:paraId="0CF327F4" w14:textId="77777777" w:rsidR="00237C70" w:rsidRPr="004F02C8" w:rsidRDefault="00237C70" w:rsidP="003415E4">
      <w:pPr>
        <w:ind w:left="284"/>
        <w:rPr>
          <w:rFonts w:ascii="Times New Roman" w:hAnsi="Times New Roman"/>
        </w:rPr>
      </w:pPr>
    </w:p>
    <w:p w14:paraId="67507542" w14:textId="77777777" w:rsidR="00237C70" w:rsidRPr="004F02C8" w:rsidRDefault="00237C70" w:rsidP="003415E4">
      <w:pPr>
        <w:ind w:left="284"/>
        <w:rPr>
          <w:rFonts w:ascii="Times New Roman" w:hAnsi="Times New Roman"/>
        </w:rPr>
      </w:pPr>
    </w:p>
    <w:p w14:paraId="14AF58F8" w14:textId="77777777" w:rsidR="00237C70" w:rsidRPr="004F02C8" w:rsidRDefault="00237C70" w:rsidP="003415E4">
      <w:pPr>
        <w:ind w:left="284"/>
        <w:rPr>
          <w:rFonts w:ascii="Times New Roman" w:hAnsi="Times New Roman"/>
        </w:rPr>
      </w:pPr>
    </w:p>
    <w:p w14:paraId="25F4DC77" w14:textId="77777777" w:rsidR="00237C70" w:rsidRPr="004F02C8" w:rsidRDefault="00237C70" w:rsidP="003415E4">
      <w:pPr>
        <w:ind w:left="284"/>
        <w:rPr>
          <w:rFonts w:ascii="Times New Roman" w:hAnsi="Times New Roman"/>
        </w:rPr>
      </w:pPr>
    </w:p>
    <w:p w14:paraId="3DBA87D0" w14:textId="77777777" w:rsidR="00237C70" w:rsidRPr="004F02C8" w:rsidRDefault="00237C70" w:rsidP="003415E4">
      <w:pPr>
        <w:ind w:left="284"/>
        <w:rPr>
          <w:rFonts w:ascii="Times New Roman" w:hAnsi="Times New Roman"/>
        </w:rPr>
      </w:pPr>
    </w:p>
    <w:p w14:paraId="37F91473" w14:textId="77777777" w:rsidR="00237C70" w:rsidRPr="004F02C8" w:rsidRDefault="00237C70" w:rsidP="003415E4">
      <w:pPr>
        <w:ind w:left="284"/>
        <w:rPr>
          <w:rFonts w:ascii="Times New Roman" w:hAnsi="Times New Roman"/>
        </w:rPr>
      </w:pPr>
    </w:p>
    <w:p w14:paraId="69924A1B" w14:textId="77777777" w:rsidR="00237C70" w:rsidRPr="004F02C8" w:rsidRDefault="00237C70" w:rsidP="003415E4">
      <w:pPr>
        <w:ind w:left="284"/>
        <w:rPr>
          <w:rFonts w:ascii="Times New Roman" w:hAnsi="Times New Roman"/>
        </w:rPr>
      </w:pPr>
    </w:p>
    <w:p w14:paraId="2C31CED8" w14:textId="77777777" w:rsidR="00237C70" w:rsidRPr="004F02C8" w:rsidRDefault="00237C70" w:rsidP="003415E4">
      <w:pPr>
        <w:ind w:left="284"/>
        <w:rPr>
          <w:rFonts w:ascii="Times New Roman" w:hAnsi="Times New Roman"/>
        </w:rPr>
      </w:pPr>
    </w:p>
    <w:sectPr w:rsidR="00237C70" w:rsidRPr="004F02C8" w:rsidSect="00B6216A">
      <w:headerReference w:type="default" r:id="rId8"/>
      <w:footerReference w:type="even" r:id="rId9"/>
      <w:footerReference w:type="default" r:id="rId10"/>
      <w:headerReference w:type="first" r:id="rId11"/>
      <w:footerReference w:type="first" r:id="rId12"/>
      <w:pgSz w:w="11913" w:h="16834" w:code="9"/>
      <w:pgMar w:top="2087" w:right="1423" w:bottom="1440" w:left="1701" w:header="709" w:footer="0" w:gutter="0"/>
      <w:paperSrc w:first="1" w:other="3"/>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40090" w14:textId="77777777" w:rsidR="00F33CA5" w:rsidRDefault="00F33CA5" w:rsidP="008D53C9">
      <w:r>
        <w:separator/>
      </w:r>
    </w:p>
    <w:p w14:paraId="61A6908B" w14:textId="77777777" w:rsidR="00F33CA5" w:rsidRDefault="00F33CA5"/>
  </w:endnote>
  <w:endnote w:type="continuationSeparator" w:id="0">
    <w:p w14:paraId="0B32700E" w14:textId="77777777" w:rsidR="00F33CA5" w:rsidRDefault="00F33CA5" w:rsidP="008D53C9">
      <w:r>
        <w:continuationSeparator/>
      </w:r>
    </w:p>
    <w:p w14:paraId="29017B37" w14:textId="77777777" w:rsidR="00F33CA5" w:rsidRDefault="00F33C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2C3E0" w14:textId="77777777" w:rsidR="00B6216A" w:rsidRDefault="00B6216A" w:rsidP="00B57B40">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14:paraId="02514990" w14:textId="77777777" w:rsidR="00B6216A" w:rsidRDefault="00B6216A" w:rsidP="00B57B40">
    <w:pPr>
      <w:pStyle w:val="Bunntekst"/>
      <w:ind w:right="360"/>
    </w:pPr>
  </w:p>
  <w:p w14:paraId="037FBCFB" w14:textId="77777777" w:rsidR="00B6216A" w:rsidRDefault="00B6216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A498A" w14:textId="77777777" w:rsidR="00B6216A" w:rsidRPr="00033926" w:rsidRDefault="00B6216A" w:rsidP="00033926">
    <w:pPr>
      <w:pStyle w:val="Bunntekst"/>
      <w:framePr w:wrap="around" w:vAnchor="text" w:hAnchor="page" w:x="10502" w:y="-761"/>
      <w:rPr>
        <w:rStyle w:val="Sidetall"/>
        <w:rFonts w:ascii="Franklin Gothic Book" w:hAnsi="Franklin Gothic Book"/>
        <w:color w:val="0073B3"/>
        <w:sz w:val="20"/>
        <w:szCs w:val="20"/>
      </w:rPr>
    </w:pPr>
    <w:r w:rsidRPr="00033926">
      <w:rPr>
        <w:rStyle w:val="Sidetall"/>
        <w:rFonts w:ascii="Franklin Gothic Book" w:hAnsi="Franklin Gothic Book"/>
        <w:color w:val="0073B3"/>
        <w:sz w:val="20"/>
        <w:szCs w:val="20"/>
      </w:rPr>
      <w:fldChar w:fldCharType="begin"/>
    </w:r>
    <w:r w:rsidRPr="00033926">
      <w:rPr>
        <w:rStyle w:val="Sidetall"/>
        <w:rFonts w:ascii="Franklin Gothic Book" w:hAnsi="Franklin Gothic Book"/>
        <w:color w:val="0073B3"/>
        <w:sz w:val="20"/>
        <w:szCs w:val="20"/>
      </w:rPr>
      <w:instrText xml:space="preserve">PAGE  </w:instrText>
    </w:r>
    <w:r w:rsidRPr="00033926">
      <w:rPr>
        <w:rStyle w:val="Sidetall"/>
        <w:rFonts w:ascii="Franklin Gothic Book" w:hAnsi="Franklin Gothic Book"/>
        <w:color w:val="0073B3"/>
        <w:sz w:val="20"/>
        <w:szCs w:val="20"/>
      </w:rPr>
      <w:fldChar w:fldCharType="separate"/>
    </w:r>
    <w:r w:rsidR="00A826CA">
      <w:rPr>
        <w:rStyle w:val="Sidetall"/>
        <w:rFonts w:ascii="Franklin Gothic Book" w:hAnsi="Franklin Gothic Book"/>
        <w:noProof/>
        <w:color w:val="0073B3"/>
        <w:sz w:val="20"/>
        <w:szCs w:val="20"/>
      </w:rPr>
      <w:t>2</w:t>
    </w:r>
    <w:r w:rsidRPr="00033926">
      <w:rPr>
        <w:rStyle w:val="Sidetall"/>
        <w:rFonts w:ascii="Franklin Gothic Book" w:hAnsi="Franklin Gothic Book"/>
        <w:color w:val="0073B3"/>
        <w:sz w:val="20"/>
        <w:szCs w:val="20"/>
      </w:rPr>
      <w:fldChar w:fldCharType="end"/>
    </w:r>
  </w:p>
  <w:p w14:paraId="4DB40D0C" w14:textId="77777777" w:rsidR="00B6216A" w:rsidRPr="00F54048" w:rsidRDefault="00B6216A" w:rsidP="00B57B40">
    <w:pPr>
      <w:ind w:left="0" w:right="360"/>
    </w:pPr>
  </w:p>
  <w:p w14:paraId="0F655E01" w14:textId="77777777" w:rsidR="00B6216A" w:rsidRDefault="00B6216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7166E" w14:textId="6B110E90" w:rsidR="00B6216A" w:rsidRDefault="00B6216A" w:rsidP="00ED4B5D">
    <w:pPr>
      <w:pStyle w:val="Bunntekst"/>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9052D" w14:textId="77777777" w:rsidR="00F33CA5" w:rsidRDefault="00F33CA5" w:rsidP="008D53C9">
      <w:r>
        <w:separator/>
      </w:r>
    </w:p>
    <w:p w14:paraId="5EF86297" w14:textId="77777777" w:rsidR="00F33CA5" w:rsidRDefault="00F33CA5"/>
  </w:footnote>
  <w:footnote w:type="continuationSeparator" w:id="0">
    <w:p w14:paraId="4F232D2F" w14:textId="77777777" w:rsidR="00F33CA5" w:rsidRDefault="00F33CA5" w:rsidP="008D53C9">
      <w:r>
        <w:continuationSeparator/>
      </w:r>
    </w:p>
    <w:p w14:paraId="138937C6" w14:textId="77777777" w:rsidR="00F33CA5" w:rsidRDefault="00F33C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2E953" w14:textId="77777777" w:rsidR="00B6216A" w:rsidRPr="00626818" w:rsidRDefault="00B6216A" w:rsidP="004F02C8">
    <w:pPr>
      <w:pStyle w:val="Stil1"/>
      <w:ind w:left="-993"/>
      <w:rPr>
        <w:lang w:val="de-DE"/>
      </w:rPr>
    </w:pPr>
    <w:r>
      <w:rPr>
        <w:noProof/>
      </w:rPr>
      <w:drawing>
        <wp:inline distT="0" distB="0" distL="0" distR="0" wp14:anchorId="676D54B5" wp14:editId="68579F02">
          <wp:extent cx="2487168" cy="707136"/>
          <wp:effectExtent l="0" t="0" r="2540" b="4445"/>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FO_brevark_logo-01.png"/>
                  <pic:cNvPicPr/>
                </pic:nvPicPr>
                <pic:blipFill>
                  <a:blip r:embed="rId1">
                    <a:extLst>
                      <a:ext uri="{28A0092B-C50C-407E-A947-70E740481C1C}">
                        <a14:useLocalDpi xmlns:a14="http://schemas.microsoft.com/office/drawing/2010/main" val="0"/>
                      </a:ext>
                    </a:extLst>
                  </a:blip>
                  <a:stretch>
                    <a:fillRect/>
                  </a:stretch>
                </pic:blipFill>
                <pic:spPr>
                  <a:xfrm>
                    <a:off x="0" y="0"/>
                    <a:ext cx="2487168" cy="707136"/>
                  </a:xfrm>
                  <a:prstGeom prst="rect">
                    <a:avLst/>
                  </a:prstGeom>
                </pic:spPr>
              </pic:pic>
            </a:graphicData>
          </a:graphic>
        </wp:inline>
      </w:drawing>
    </w:r>
  </w:p>
  <w:p w14:paraId="364DCE06" w14:textId="77777777" w:rsidR="00B6216A" w:rsidRDefault="00B6216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B54AA" w14:textId="77777777" w:rsidR="00B6216A" w:rsidRDefault="00B6216A" w:rsidP="00033926">
    <w:pPr>
      <w:pStyle w:val="Topptekst"/>
      <w:ind w:left="-851"/>
    </w:pPr>
    <w:r w:rsidRPr="003415E4">
      <w:rPr>
        <w:noProof/>
      </w:rPr>
      <w:drawing>
        <wp:inline distT="0" distB="0" distL="0" distR="0" wp14:anchorId="047C0837" wp14:editId="2553DC75">
          <wp:extent cx="2192655" cy="556005"/>
          <wp:effectExtent l="0" t="0" r="0" b="3175"/>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FO_brevark_logo-01.png"/>
                  <pic:cNvPicPr/>
                </pic:nvPicPr>
                <pic:blipFill>
                  <a:blip r:embed="rId1">
                    <a:extLst>
                      <a:ext uri="{28A0092B-C50C-407E-A947-70E740481C1C}">
                        <a14:useLocalDpi xmlns:a14="http://schemas.microsoft.com/office/drawing/2010/main" val="0"/>
                      </a:ext>
                    </a:extLst>
                  </a:blip>
                  <a:stretch>
                    <a:fillRect/>
                  </a:stretch>
                </pic:blipFill>
                <pic:spPr>
                  <a:xfrm>
                    <a:off x="0" y="0"/>
                    <a:ext cx="2194984" cy="5565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9DE6358"/>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8D2EC7"/>
    <w:multiLevelType w:val="hybridMultilevel"/>
    <w:tmpl w:val="A440AA5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num w:numId="1" w16cid:durableId="226965231">
    <w:abstractNumId w:val="0"/>
  </w:num>
  <w:num w:numId="2" w16cid:durableId="837118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GB" w:vendorID="8" w:dllVersion="513" w:checkStyle="1"/>
  <w:activeWritingStyle w:appName="MSWord" w:lang="de-DE" w:vendorID="9" w:dllVersion="512" w:checkStyle="1"/>
  <w:activeWritingStyle w:appName="MSWord" w:lang="nb-NO" w:vendorID="666" w:dllVersion="513" w:checkStyle="1"/>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39C"/>
    <w:rsid w:val="00020B49"/>
    <w:rsid w:val="00033926"/>
    <w:rsid w:val="00074B9C"/>
    <w:rsid w:val="000E3479"/>
    <w:rsid w:val="001318E1"/>
    <w:rsid w:val="001B47CB"/>
    <w:rsid w:val="001C43D0"/>
    <w:rsid w:val="00237C70"/>
    <w:rsid w:val="002970F3"/>
    <w:rsid w:val="003415E4"/>
    <w:rsid w:val="003544E1"/>
    <w:rsid w:val="00357DD0"/>
    <w:rsid w:val="003E669B"/>
    <w:rsid w:val="00427E54"/>
    <w:rsid w:val="00432C9B"/>
    <w:rsid w:val="0044329C"/>
    <w:rsid w:val="004672DB"/>
    <w:rsid w:val="004C6C7C"/>
    <w:rsid w:val="004D539C"/>
    <w:rsid w:val="004E17DA"/>
    <w:rsid w:val="004F02C8"/>
    <w:rsid w:val="00626818"/>
    <w:rsid w:val="00630D63"/>
    <w:rsid w:val="006D2825"/>
    <w:rsid w:val="006E585E"/>
    <w:rsid w:val="00714CDF"/>
    <w:rsid w:val="00721882"/>
    <w:rsid w:val="00746109"/>
    <w:rsid w:val="007D5057"/>
    <w:rsid w:val="007E7EE5"/>
    <w:rsid w:val="008746D0"/>
    <w:rsid w:val="00885CBD"/>
    <w:rsid w:val="008D53C9"/>
    <w:rsid w:val="008F2543"/>
    <w:rsid w:val="00967046"/>
    <w:rsid w:val="00A7571D"/>
    <w:rsid w:val="00A826CA"/>
    <w:rsid w:val="00AB3C90"/>
    <w:rsid w:val="00B421CD"/>
    <w:rsid w:val="00B476E6"/>
    <w:rsid w:val="00B50F9C"/>
    <w:rsid w:val="00B52ED2"/>
    <w:rsid w:val="00B57B40"/>
    <w:rsid w:val="00B6216A"/>
    <w:rsid w:val="00C34273"/>
    <w:rsid w:val="00C40731"/>
    <w:rsid w:val="00C41187"/>
    <w:rsid w:val="00D30FBA"/>
    <w:rsid w:val="00DA3B28"/>
    <w:rsid w:val="00DB7248"/>
    <w:rsid w:val="00DE58BE"/>
    <w:rsid w:val="00E0765C"/>
    <w:rsid w:val="00E4231E"/>
    <w:rsid w:val="00E4596C"/>
    <w:rsid w:val="00E713C5"/>
    <w:rsid w:val="00ED4B5D"/>
    <w:rsid w:val="00EF4127"/>
    <w:rsid w:val="00F14138"/>
    <w:rsid w:val="00F33CA5"/>
    <w:rsid w:val="00F54048"/>
    <w:rsid w:val="00F60877"/>
    <w:rsid w:val="00F92BA2"/>
    <w:rsid w:val="00FA6DEB"/>
    <w:rsid w:val="00FD12B8"/>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8890FA"/>
  <w15:docId w15:val="{254B5014-B3CC-4541-893A-9A79EAC54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sz w:val="22"/>
        <w:szCs w:val="22"/>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53C9"/>
    <w:pPr>
      <w:tabs>
        <w:tab w:val="left" w:pos="3402"/>
        <w:tab w:val="right" w:pos="8789"/>
      </w:tabs>
      <w:ind w:left="426"/>
    </w:pPr>
  </w:style>
  <w:style w:type="paragraph" w:styleId="Overskrift1">
    <w:name w:val="heading 1"/>
    <w:basedOn w:val="Normal"/>
    <w:next w:val="Normal"/>
    <w:link w:val="Overskrift1Tegn"/>
    <w:qFormat/>
    <w:rsid w:val="00DE58BE"/>
    <w:pPr>
      <w:keepNext/>
      <w:keepLines/>
      <w:spacing w:before="480"/>
      <w:ind w:left="284"/>
      <w:outlineLvl w:val="0"/>
    </w:pPr>
    <w:rPr>
      <w:rFonts w:ascii="Arial" w:eastAsiaTheme="majorEastAsia" w:hAnsi="Arial" w:cs="Arial"/>
      <w:bCs/>
      <w:color w:val="0073B3"/>
      <w:sz w:val="32"/>
      <w:szCs w:val="32"/>
    </w:rPr>
  </w:style>
  <w:style w:type="paragraph" w:styleId="Overskrift2">
    <w:name w:val="heading 2"/>
    <w:basedOn w:val="Normal"/>
    <w:next w:val="Normal"/>
    <w:link w:val="Overskrift2Tegn"/>
    <w:unhideWhenUsed/>
    <w:qFormat/>
    <w:rsid w:val="00357DD0"/>
    <w:pPr>
      <w:keepNext/>
      <w:keepLines/>
      <w:spacing w:before="200"/>
      <w:ind w:left="284"/>
      <w:outlineLvl w:val="1"/>
    </w:pPr>
    <w:rPr>
      <w:rFonts w:ascii="Arial" w:eastAsiaTheme="majorEastAsia" w:hAnsi="Arial" w:cs="Arial"/>
      <w:b/>
      <w:bCs/>
      <w:color w:val="000000" w:themeColor="text1"/>
      <w:sz w:val="28"/>
      <w:szCs w:val="28"/>
    </w:rPr>
  </w:style>
  <w:style w:type="paragraph" w:styleId="Overskrift3">
    <w:name w:val="heading 3"/>
    <w:basedOn w:val="Normal"/>
    <w:next w:val="Normal"/>
    <w:link w:val="Overskrift3Tegn"/>
    <w:unhideWhenUsed/>
    <w:qFormat/>
    <w:rsid w:val="00357DD0"/>
    <w:pPr>
      <w:keepNext/>
      <w:keepLines/>
      <w:spacing w:before="200"/>
      <w:ind w:left="284"/>
      <w:outlineLvl w:val="2"/>
    </w:pPr>
    <w:rPr>
      <w:rFonts w:ascii="Arial" w:eastAsiaTheme="majorEastAsia" w:hAnsi="Arial" w:cs="Arial"/>
      <w:b/>
      <w:bCs/>
      <w:color w:val="000000" w:themeColor="text1"/>
    </w:rPr>
  </w:style>
  <w:style w:type="paragraph" w:styleId="Overskrift4">
    <w:name w:val="heading 4"/>
    <w:basedOn w:val="Normal"/>
    <w:next w:val="Normal"/>
    <w:link w:val="Overskrift4Tegn"/>
    <w:unhideWhenUsed/>
    <w:qFormat/>
    <w:rsid w:val="008D53C9"/>
    <w:pPr>
      <w:outlineLvl w:val="3"/>
    </w:pPr>
    <w:rPr>
      <w:b/>
      <w: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DE58BE"/>
    <w:rPr>
      <w:rFonts w:ascii="Arial" w:eastAsiaTheme="majorEastAsia" w:hAnsi="Arial" w:cs="Arial"/>
      <w:bCs/>
      <w:color w:val="0073B3"/>
      <w:sz w:val="32"/>
      <w:szCs w:val="32"/>
    </w:rPr>
  </w:style>
  <w:style w:type="character" w:customStyle="1" w:styleId="Overskrift2Tegn">
    <w:name w:val="Overskrift 2 Tegn"/>
    <w:basedOn w:val="Standardskriftforavsnitt"/>
    <w:link w:val="Overskrift2"/>
    <w:rsid w:val="00357DD0"/>
    <w:rPr>
      <w:rFonts w:ascii="Arial" w:eastAsiaTheme="majorEastAsia" w:hAnsi="Arial" w:cs="Arial"/>
      <w:b/>
      <w:bCs/>
      <w:color w:val="000000" w:themeColor="text1"/>
      <w:sz w:val="28"/>
      <w:szCs w:val="28"/>
    </w:rPr>
  </w:style>
  <w:style w:type="character" w:customStyle="1" w:styleId="Overskrift3Tegn">
    <w:name w:val="Overskrift 3 Tegn"/>
    <w:basedOn w:val="Standardskriftforavsnitt"/>
    <w:link w:val="Overskrift3"/>
    <w:rsid w:val="00357DD0"/>
    <w:rPr>
      <w:rFonts w:ascii="Arial" w:eastAsiaTheme="majorEastAsia" w:hAnsi="Arial" w:cs="Arial"/>
      <w:b/>
      <w:bCs/>
      <w:color w:val="000000" w:themeColor="text1"/>
    </w:rPr>
  </w:style>
  <w:style w:type="character" w:customStyle="1" w:styleId="Overskrift4Tegn">
    <w:name w:val="Overskrift 4 Tegn"/>
    <w:basedOn w:val="Standardskriftforavsnitt"/>
    <w:link w:val="Overskrift4"/>
    <w:rsid w:val="008D53C9"/>
    <w:rPr>
      <w:rFonts w:ascii="Garamond" w:hAnsi="Garamond"/>
      <w:b/>
      <w:i/>
      <w:sz w:val="22"/>
      <w:szCs w:val="22"/>
    </w:rPr>
  </w:style>
  <w:style w:type="paragraph" w:styleId="Bobletekst">
    <w:name w:val="Balloon Text"/>
    <w:basedOn w:val="Normal"/>
    <w:link w:val="BobletekstTegn"/>
    <w:rsid w:val="008D53C9"/>
    <w:rPr>
      <w:rFonts w:ascii="Lucida Grande" w:hAnsi="Lucida Grande" w:cs="Lucida Grande"/>
      <w:sz w:val="18"/>
      <w:szCs w:val="18"/>
    </w:rPr>
  </w:style>
  <w:style w:type="character" w:customStyle="1" w:styleId="BobletekstTegn">
    <w:name w:val="Bobletekst Tegn"/>
    <w:basedOn w:val="Standardskriftforavsnitt"/>
    <w:link w:val="Bobletekst"/>
    <w:rsid w:val="008D53C9"/>
    <w:rPr>
      <w:rFonts w:ascii="Lucida Grande" w:hAnsi="Lucida Grande" w:cs="Lucida Grande"/>
      <w:sz w:val="18"/>
      <w:szCs w:val="18"/>
    </w:rPr>
  </w:style>
  <w:style w:type="paragraph" w:styleId="Topptekst">
    <w:name w:val="header"/>
    <w:basedOn w:val="Normal"/>
    <w:next w:val="Normal"/>
    <w:pPr>
      <w:tabs>
        <w:tab w:val="center" w:pos="4819"/>
        <w:tab w:val="right" w:pos="9071"/>
      </w:tabs>
    </w:pPr>
  </w:style>
  <w:style w:type="paragraph" w:styleId="Listeavsnitt">
    <w:name w:val="List Paragraph"/>
    <w:basedOn w:val="Normal"/>
    <w:uiPriority w:val="72"/>
    <w:rsid w:val="008D53C9"/>
    <w:pPr>
      <w:ind w:left="720"/>
      <w:contextualSpacing/>
    </w:pPr>
  </w:style>
  <w:style w:type="paragraph" w:customStyle="1" w:styleId="Stil1">
    <w:name w:val="Stil1"/>
    <w:basedOn w:val="Normal"/>
    <w:rPr>
      <w:sz w:val="24"/>
    </w:rPr>
  </w:style>
  <w:style w:type="character" w:styleId="Hyperkobling">
    <w:name w:val="Hyperlink"/>
    <w:rPr>
      <w:color w:val="0000FF"/>
      <w:u w:val="single"/>
    </w:rPr>
  </w:style>
  <w:style w:type="paragraph" w:styleId="Fotnotetekst">
    <w:name w:val="footnote text"/>
    <w:basedOn w:val="Normal"/>
    <w:semiHidden/>
  </w:style>
  <w:style w:type="character" w:styleId="Fotnotereferanse">
    <w:name w:val="footnote reference"/>
    <w:semiHidden/>
    <w:rPr>
      <w:vertAlign w:val="superscript"/>
    </w:rPr>
  </w:style>
  <w:style w:type="paragraph" w:customStyle="1" w:styleId="NoteLevel2">
    <w:name w:val="Note Level 2"/>
    <w:basedOn w:val="Normal"/>
    <w:uiPriority w:val="1"/>
    <w:qFormat/>
    <w:rsid w:val="008D53C9"/>
    <w:pPr>
      <w:keepNext/>
      <w:numPr>
        <w:ilvl w:val="1"/>
        <w:numId w:val="1"/>
      </w:numPr>
      <w:contextualSpacing/>
      <w:outlineLvl w:val="1"/>
    </w:pPr>
  </w:style>
  <w:style w:type="paragraph" w:customStyle="1" w:styleId="Adressefelt">
    <w:name w:val="Adressefelt"/>
    <w:basedOn w:val="Normal"/>
    <w:qFormat/>
    <w:rsid w:val="00B57B40"/>
    <w:pPr>
      <w:ind w:left="284"/>
    </w:pPr>
    <w:rPr>
      <w:rFonts w:ascii="Times New Roman" w:hAnsi="Times New Roman"/>
      <w:lang w:val="de-DE"/>
    </w:rPr>
  </w:style>
  <w:style w:type="character" w:styleId="Sterk">
    <w:name w:val="Strong"/>
    <w:basedOn w:val="Standardskriftforavsnitt"/>
    <w:qFormat/>
    <w:rsid w:val="008D53C9"/>
    <w:rPr>
      <w:b/>
      <w:bCs/>
    </w:rPr>
  </w:style>
  <w:style w:type="paragraph" w:styleId="Tittel">
    <w:name w:val="Title"/>
    <w:basedOn w:val="Overskrift1"/>
    <w:next w:val="Normal"/>
    <w:link w:val="TittelTegn"/>
    <w:qFormat/>
    <w:rsid w:val="008D53C9"/>
    <w:rPr>
      <w:sz w:val="40"/>
      <w:szCs w:val="40"/>
    </w:rPr>
  </w:style>
  <w:style w:type="character" w:customStyle="1" w:styleId="TittelTegn">
    <w:name w:val="Tittel Tegn"/>
    <w:basedOn w:val="Standardskriftforavsnitt"/>
    <w:link w:val="Tittel"/>
    <w:rsid w:val="008D53C9"/>
    <w:rPr>
      <w:rFonts w:ascii="Garamond" w:eastAsiaTheme="majorEastAsia" w:hAnsi="Garamond" w:cstheme="majorBidi"/>
      <w:b/>
      <w:bCs/>
      <w:color w:val="DA6222"/>
      <w:sz w:val="40"/>
      <w:szCs w:val="40"/>
    </w:rPr>
  </w:style>
  <w:style w:type="character" w:styleId="Sterkutheving">
    <w:name w:val="Intense Emphasis"/>
    <w:basedOn w:val="Standardskriftforavsnitt"/>
    <w:uiPriority w:val="21"/>
    <w:qFormat/>
    <w:rsid w:val="001318E1"/>
    <w:rPr>
      <w:b/>
      <w:bCs/>
      <w:i/>
      <w:iCs/>
      <w:color w:val="000000" w:themeColor="text1"/>
    </w:rPr>
  </w:style>
  <w:style w:type="character" w:styleId="Svakutheving">
    <w:name w:val="Subtle Emphasis"/>
    <w:basedOn w:val="Standardskriftforavsnitt"/>
    <w:uiPriority w:val="19"/>
    <w:qFormat/>
    <w:rsid w:val="001318E1"/>
    <w:rPr>
      <w:i/>
      <w:iCs/>
      <w:color w:val="808080" w:themeColor="text1" w:themeTint="7F"/>
    </w:rPr>
  </w:style>
  <w:style w:type="character" w:styleId="Utheving">
    <w:name w:val="Emphasis"/>
    <w:basedOn w:val="Standardskriftforavsnitt"/>
    <w:qFormat/>
    <w:rsid w:val="001318E1"/>
    <w:rPr>
      <w:i/>
      <w:iCs/>
    </w:rPr>
  </w:style>
  <w:style w:type="paragraph" w:styleId="Bunntekst">
    <w:name w:val="footer"/>
    <w:basedOn w:val="Normal"/>
    <w:link w:val="BunntekstTegn"/>
    <w:rsid w:val="00EF4127"/>
    <w:pPr>
      <w:tabs>
        <w:tab w:val="clear" w:pos="3402"/>
        <w:tab w:val="clear" w:pos="8789"/>
        <w:tab w:val="center" w:pos="4536"/>
        <w:tab w:val="right" w:pos="9072"/>
      </w:tabs>
    </w:pPr>
  </w:style>
  <w:style w:type="character" w:customStyle="1" w:styleId="BunntekstTegn">
    <w:name w:val="Bunntekst Tegn"/>
    <w:basedOn w:val="Standardskriftforavsnitt"/>
    <w:link w:val="Bunntekst"/>
    <w:rsid w:val="00EF4127"/>
  </w:style>
  <w:style w:type="character" w:styleId="Sidetall">
    <w:name w:val="page number"/>
    <w:basedOn w:val="Standardskriftforavsnitt"/>
    <w:rsid w:val="00B57B40"/>
  </w:style>
  <w:style w:type="character" w:customStyle="1" w:styleId="normaltextrun">
    <w:name w:val="normaltextrun"/>
    <w:basedOn w:val="Standardskriftforavsnitt"/>
    <w:rsid w:val="00ED4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ffCamWid\AppData\Local\Microsoft\Windows\INetCache\Content.Outlook\I8646MM3\NFFO%20brevmal.dotx" TargetMode="External"/></Relationships>
</file>

<file path=word/theme/theme1.xml><?xml version="1.0" encoding="utf-8"?>
<a:theme xmlns:a="http://schemas.openxmlformats.org/drawingml/2006/main" name="NFFO_PP_mal">
  <a:themeElements>
    <a:clrScheme name="NFFO">
      <a:dk1>
        <a:sysClr val="windowText" lastClr="000000"/>
      </a:dk1>
      <a:lt1>
        <a:sysClr val="window" lastClr="FFFFFF"/>
      </a:lt1>
      <a:dk2>
        <a:srgbClr val="0073B3"/>
      </a:dk2>
      <a:lt2>
        <a:srgbClr val="99D6EA"/>
      </a:lt2>
      <a:accent1>
        <a:srgbClr val="458BBE"/>
      </a:accent1>
      <a:accent2>
        <a:srgbClr val="E0F2F4"/>
      </a:accent2>
      <a:accent3>
        <a:srgbClr val="0073B3"/>
      </a:accent3>
      <a:accent4>
        <a:srgbClr val="99D6EA"/>
      </a:accent4>
      <a:accent5>
        <a:srgbClr val="0073B3"/>
      </a:accent5>
      <a:accent6>
        <a:srgbClr val="F79646"/>
      </a:accent6>
      <a:hlink>
        <a:srgbClr val="0073B3"/>
      </a:hlink>
      <a:folHlink>
        <a:srgbClr val="458BBE"/>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EC6F6-C8B1-4BAA-AA77-ABBC5AE1E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NFFO brevmal</Template>
  <TotalTime>1</TotalTime>
  <Pages>5</Pages>
  <Words>1153</Words>
  <Characters>6603</Characters>
  <Application>Microsoft Office Word</Application>
  <DocSecurity>0</DocSecurity>
  <Lines>55</Lines>
  <Paragraphs>15</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Brevmal til C4-konvolutt</vt:lpstr>
      <vt:lpstr>Brevmal til C4-konvolutt</vt:lpstr>
    </vt:vector>
  </TitlesOfParts>
  <Company>SuperOffice</Company>
  <LinksUpToDate>false</LinksUpToDate>
  <CharactersWithSpaces>7741</CharactersWithSpaces>
  <SharedDoc>false</SharedDoc>
  <HLinks>
    <vt:vector size="6" baseType="variant">
      <vt:variant>
        <vt:i4>5701660</vt:i4>
      </vt:variant>
      <vt:variant>
        <vt:i4>2914</vt:i4>
      </vt:variant>
      <vt:variant>
        <vt:i4>1025</vt:i4>
      </vt:variant>
      <vt:variant>
        <vt:i4>1</vt:i4>
      </vt:variant>
      <vt:variant>
        <vt:lpwstr>Norla_logo_PMS [Converted]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Brevmal til C4-konvolutt</dc:title>
  <dc:subject/>
  <dc:creator>Camilla Marie Widholm</dc:creator>
  <cp:keywords/>
  <dc:description>For bruk i SuperOffice</dc:description>
  <cp:lastModifiedBy>Sverre Haga</cp:lastModifiedBy>
  <cp:revision>3</cp:revision>
  <cp:lastPrinted>2018-04-27T12:18:00Z</cp:lastPrinted>
  <dcterms:created xsi:type="dcterms:W3CDTF">2022-10-27T12:53:00Z</dcterms:created>
  <dcterms:modified xsi:type="dcterms:W3CDTF">2022-10-27T12:54:00Z</dcterms:modified>
</cp:coreProperties>
</file>